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05" w:rsidRPr="00865405" w:rsidRDefault="00865405" w:rsidP="00A91612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222222"/>
          <w:lang w:val="uk-UA" w:eastAsia="uk-UA" w:bidi="ar-SA"/>
        </w:rPr>
      </w:pPr>
      <w:r w:rsidRPr="00865405">
        <w:rPr>
          <w:rFonts w:ascii="Times New Roman" w:eastAsia="Times New Roman" w:hAnsi="Times New Roman" w:cs="Times New Roman"/>
          <w:b/>
          <w:color w:val="222222"/>
          <w:lang w:val="uk-UA" w:eastAsia="uk-UA" w:bidi="ar-SA"/>
        </w:rPr>
        <w:t>УМОВИ КРЕДИТУВАННЯ</w:t>
      </w:r>
    </w:p>
    <w:p w:rsidR="00865405" w:rsidRPr="00865405" w:rsidRDefault="00865405" w:rsidP="00A91612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865405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Річна відсоткова ставка може варіюватися від </w:t>
      </w:r>
      <w:r w:rsidR="00C71A49">
        <w:rPr>
          <w:rFonts w:ascii="Times New Roman" w:eastAsia="Times New Roman" w:hAnsi="Times New Roman" w:cs="Times New Roman"/>
          <w:color w:val="222222"/>
          <w:lang w:val="uk-UA" w:eastAsia="uk-UA" w:bidi="ar-SA"/>
        </w:rPr>
        <w:t>10</w:t>
      </w:r>
      <w:r w:rsidRPr="00865405">
        <w:rPr>
          <w:rFonts w:ascii="Times New Roman" w:eastAsia="Times New Roman" w:hAnsi="Times New Roman" w:cs="Times New Roman"/>
          <w:color w:val="222222"/>
          <w:lang w:val="uk-UA" w:eastAsia="uk-UA" w:bidi="ar-SA"/>
        </w:rPr>
        <w:t>% до 59,141%.</w:t>
      </w:r>
    </w:p>
    <w:p w:rsidR="00865405" w:rsidRPr="00865405" w:rsidRDefault="00865405" w:rsidP="00A91612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865405">
        <w:rPr>
          <w:rFonts w:ascii="Times New Roman" w:eastAsia="Times New Roman" w:hAnsi="Times New Roman" w:cs="Times New Roman"/>
          <w:color w:val="222222"/>
          <w:lang w:val="uk-UA" w:eastAsia="uk-UA" w:bidi="ar-SA"/>
        </w:rPr>
        <w:t>Тривалість кредиту може становити від 62 днів до 20 років.</w:t>
      </w:r>
    </w:p>
    <w:p w:rsidR="00865405" w:rsidRPr="00865405" w:rsidRDefault="00865405" w:rsidP="00865405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865405">
        <w:rPr>
          <w:rFonts w:ascii="Times New Roman" w:eastAsia="Times New Roman" w:hAnsi="Times New Roman" w:cs="Times New Roman"/>
          <w:color w:val="222222"/>
          <w:lang w:val="uk-UA" w:eastAsia="uk-UA" w:bidi="ar-SA"/>
        </w:rPr>
        <w:t>Умови залежать від суми та тривало</w:t>
      </w:r>
      <w:bookmarkStart w:id="0" w:name="_GoBack"/>
      <w:bookmarkEnd w:id="0"/>
      <w:r w:rsidRPr="00865405">
        <w:rPr>
          <w:rFonts w:ascii="Times New Roman" w:eastAsia="Times New Roman" w:hAnsi="Times New Roman" w:cs="Times New Roman"/>
          <w:color w:val="222222"/>
          <w:lang w:val="uk-UA" w:eastAsia="uk-UA" w:bidi="ar-SA"/>
        </w:rPr>
        <w:t>сті кредиту.</w:t>
      </w:r>
    </w:p>
    <w:p w:rsidR="00865405" w:rsidRDefault="00865405" w:rsidP="00A91612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222222"/>
          <w:lang w:val="uk-UA" w:eastAsia="uk-UA" w:bidi="ar-SA"/>
        </w:rPr>
      </w:pPr>
    </w:p>
    <w:p w:rsidR="00865405" w:rsidRDefault="00865405" w:rsidP="008654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b/>
          <w:color w:val="222222"/>
          <w:lang w:val="uk-UA" w:eastAsia="uk-UA" w:bidi="ar-SA"/>
        </w:rPr>
        <w:t>СХЕМИ КРЕДИТУВАННЯ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Фінансова компанія, у залежності від способу погашення кредиту, пропонує наступні схеми кредитування: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«КЛАСИЧНА» СХЕМА КРЕДИТУВАННЯ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Згідно з «Класичною» схемою кредитування, кредит надається однією сумою, шляхом та у строки визначені кредитним договором. Суть класичної схеми кредитування полягає в тому, що платежі по кредиту складаються з платежів по тілу кредиту платежів по нарахованим відсоткам, дати оплати яких можуть співпадати або не співпадати.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 За «Класичною» схемою оплата тіла кредиту відбувається рівними частинами, відсотки нараховуються на фактичний залишок по кредиту за фактичну кількість днів користування кредитом, у зв’язку з цим, загальний платіж по кредиту (тіло + відсотки) на початку строку кредитування являється найбільшим, а з кожним наступним платежем він зменшується. 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У випадку, якщо позичальник здійснить оплату планового платежу по тілу кредиту та дострокову оплату майбутнього платежу або платежів по тілу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кредита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то в дату наступного платежу або платежів по тілу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кредита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у нього не виникає зобов’язання із сплати платежу по кредиту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ПЕРЕВАГИ «КЛАСИЧНОЇ» СХЕМИ: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Загальна вартість кредиту (сума відсотків сплачена за весь період користування кредитними коштами) нижча ніж за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ануїтетною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схемою. 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Можливість оплачувати тіло кредиту на перед та звільнятись від обов’язкової сплати платежів по тілу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кредита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на період який розраховується як сума переплати поділена на суму планового платежу по тілу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кредита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. Обов’язковими залишаються платежі за відсотками.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НЕДОЛІКИ «КЛАСИЧНОЇ» СХЕМИ: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Суми платежів на початку строку кредитування більші ніж за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ануітетною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схемою, що може створювати велике кредитне навантаження на позичальника.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Необхідність кожного разу уточнювати розмір платежу за відсотками.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АНУЇТЕТНА СХЕМА КРЕДИТУВАННЯ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Згідно з «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Ануїтетною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» схемою кредитування, кредит надається однією сумою, шляхом та у строки визначені кредитним договором. Суть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ануїтетної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схеми полягає в тому, що платіж за кредитом являється фіксованою сумою на весь строк кредитування, та складається з частини що йде на погашення відсотків за кредитом та частини, що йде на погашення тіла кредиту. 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Пропорція між тим, що йде на погашення тіла кредиту та відсотків змінюється у кожному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ануітетному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платежі. На початку строку кредитування більшу частину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ануїтетного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платежу складає платіж по відсотках, а наприкінці строку кредитування навпаки по тілу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кредита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. На відміну від «Класичної» схеми, в незалежності від суми, яку позичальник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вніс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на погашення кредиту, в нього залишається обов’язок по сплаті чергового обов’язкового платежу у повному обсязі.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ПЕРЕВАГИ АНУЇТЕТНОЇ СХЕМИ: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Рівномірне кредитне навантаження протягом всього строку кредитування.  В порівнянні з «Класичною» схемою, значно менші суми платежу на початку строку кредитування. 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Фіксована сума платежу, позичальник завжди знає коли і скільки йому потрібно сплатити.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НЕДОЛІКИ АНУЇТЕТНОЇ СХЕМИ: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lastRenderedPageBreak/>
        <w:t>Загальна вартість кредиту (сума відсотків сплачена за весь період користування кредитними коштами) вища ніж за «класичною» схемою.</w:t>
      </w: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</w:p>
    <w:p w:rsidR="00A91612" w:rsidRPr="00A91612" w:rsidRDefault="00A91612" w:rsidP="00A91612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222222"/>
          <w:lang w:val="uk-UA" w:eastAsia="uk-UA" w:bidi="ar-SA"/>
        </w:rPr>
      </w:pPr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Переплата за кредитом не звільняє від сплати обов’язкового </w:t>
      </w:r>
      <w:proofErr w:type="spellStart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>ануїтетного</w:t>
      </w:r>
      <w:proofErr w:type="spellEnd"/>
      <w:r w:rsidRPr="00A91612">
        <w:rPr>
          <w:rFonts w:ascii="Times New Roman" w:eastAsia="Times New Roman" w:hAnsi="Times New Roman" w:cs="Times New Roman"/>
          <w:color w:val="222222"/>
          <w:lang w:val="uk-UA" w:eastAsia="uk-UA" w:bidi="ar-SA"/>
        </w:rPr>
        <w:t xml:space="preserve"> платежу у повному обсязі.</w:t>
      </w:r>
    </w:p>
    <w:p w:rsidR="000E5B17" w:rsidRPr="00A91612" w:rsidRDefault="000E5B17" w:rsidP="00A91612">
      <w:pPr>
        <w:jc w:val="both"/>
        <w:rPr>
          <w:rFonts w:ascii="Times New Roman" w:hAnsi="Times New Roman" w:cs="Times New Roman"/>
          <w:lang w:val="uk-UA"/>
        </w:rPr>
      </w:pPr>
    </w:p>
    <w:sectPr w:rsidR="000E5B17" w:rsidRPr="00A916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12"/>
    <w:rsid w:val="000E5B17"/>
    <w:rsid w:val="007F1E81"/>
    <w:rsid w:val="00865405"/>
    <w:rsid w:val="00A91612"/>
    <w:rsid w:val="00C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DEAD"/>
  <w15:chartTrackingRefBased/>
  <w15:docId w15:val="{7555D31E-376D-402F-BE3A-44073481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1E81"/>
    <w:rPr>
      <w:rFonts w:ascii="Arial" w:hAnsi="Arial" w:cs="Arial"/>
      <w:lang w:val="en-US" w:bidi="en-US"/>
    </w:rPr>
  </w:style>
  <w:style w:type="paragraph" w:styleId="1">
    <w:name w:val="heading 1"/>
    <w:basedOn w:val="a"/>
    <w:link w:val="10"/>
    <w:uiPriority w:val="1"/>
    <w:qFormat/>
    <w:rsid w:val="007F1E81"/>
    <w:pPr>
      <w:ind w:left="914" w:hanging="67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F1E81"/>
  </w:style>
  <w:style w:type="character" w:customStyle="1" w:styleId="10">
    <w:name w:val="Заголовок 1 Знак"/>
    <w:basedOn w:val="a0"/>
    <w:link w:val="1"/>
    <w:uiPriority w:val="1"/>
    <w:rsid w:val="007F1E81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a3">
    <w:name w:val="Body Text"/>
    <w:basedOn w:val="a"/>
    <w:link w:val="a4"/>
    <w:uiPriority w:val="1"/>
    <w:qFormat/>
    <w:rsid w:val="007F1E81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F1E81"/>
    <w:rPr>
      <w:rFonts w:ascii="Arial" w:eastAsia="Arial" w:hAnsi="Arial" w:cs="Arial"/>
      <w:sz w:val="18"/>
      <w:szCs w:val="18"/>
      <w:lang w:val="en-US" w:bidi="en-US"/>
    </w:rPr>
  </w:style>
  <w:style w:type="paragraph" w:styleId="a5">
    <w:name w:val="List Paragraph"/>
    <w:basedOn w:val="a"/>
    <w:uiPriority w:val="1"/>
    <w:qFormat/>
    <w:rsid w:val="007F1E81"/>
    <w:pPr>
      <w:ind w:left="914" w:hanging="6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2108</Words>
  <Characters>1203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4</cp:revision>
  <dcterms:created xsi:type="dcterms:W3CDTF">2021-04-22T08:11:00Z</dcterms:created>
  <dcterms:modified xsi:type="dcterms:W3CDTF">2021-04-26T13:24:00Z</dcterms:modified>
</cp:coreProperties>
</file>